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39" w:rsidRPr="00237839" w:rsidRDefault="00237839" w:rsidP="00237839">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bookmarkEnd w:id="0"/>
      <w:r w:rsidRPr="00237839">
        <w:rPr>
          <w:rFonts w:ascii="Times New Roman" w:eastAsia="Times New Roman" w:hAnsi="Times New Roman" w:cs="Times New Roman" w:hint="cs"/>
          <w:b/>
          <w:bCs/>
          <w:kern w:val="36"/>
          <w:sz w:val="44"/>
          <w:szCs w:val="44"/>
          <w:rtl/>
        </w:rPr>
        <w:t>نقطة الوميض</w:t>
      </w:r>
    </w:p>
    <w:p w:rsidR="00237839" w:rsidRPr="00237839" w:rsidRDefault="00237839" w:rsidP="00237839">
      <w:pPr>
        <w:shd w:val="clear" w:color="auto" w:fill="FFFFFF"/>
        <w:spacing w:line="222" w:lineRule="atLeast"/>
        <w:rPr>
          <w:rFonts w:ascii="Times New Roman" w:eastAsia="Times New Roman" w:hAnsi="Times New Roman" w:cs="Times New Roman"/>
          <w:sz w:val="21"/>
          <w:szCs w:val="21"/>
          <w:rtl/>
          <w:lang w:bidi="ar-KW"/>
        </w:rPr>
      </w:pPr>
      <w:r>
        <w:rPr>
          <w:rFonts w:ascii="Times New Roman" w:eastAsia="Times New Roman" w:hAnsi="Times New Roman" w:cs="Times New Roman"/>
          <w:noProof/>
          <w:sz w:val="21"/>
          <w:szCs w:val="21"/>
        </w:rPr>
        <w:drawing>
          <wp:inline distT="0" distB="0" distL="0" distR="0">
            <wp:extent cx="149225" cy="149225"/>
            <wp:effectExtent l="19050" t="0" r="3175" b="0"/>
            <wp:docPr id="1" name="Picture 1" descr="هذه صفحة مس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ذه صفحة مسودة"/>
                    <pic:cNvPicPr>
                      <a:picLocks noChangeAspect="1" noChangeArrowheads="1"/>
                    </pic:cNvPicPr>
                  </pic:nvPicPr>
                  <pic:blipFill>
                    <a:blip r:embed="rId6"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w:t>
      </w:r>
      <w:hyperlink r:id="rId7" w:tooltip="لغة إنجليزية" w:history="1">
        <w:r w:rsidRPr="00237839">
          <w:rPr>
            <w:rFonts w:ascii="Times New Roman" w:eastAsia="Times New Roman" w:hAnsi="Times New Roman" w:cs="Times New Roman" w:hint="cs"/>
            <w:color w:val="0000FF"/>
            <w:u w:val="single"/>
            <w:rtl/>
          </w:rPr>
          <w:t>بالإنجليزية</w:t>
        </w:r>
      </w:hyperlink>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flash point</w:t>
      </w:r>
      <w:r w:rsidRPr="00237839">
        <w:rPr>
          <w:rFonts w:ascii="Times New Roman" w:eastAsia="Times New Roman" w:hAnsi="Times New Roman" w:cs="Times New Roman" w:hint="cs"/>
          <w:rtl/>
        </w:rPr>
        <w:t xml:space="preserve"> ‏) لسائل سريع الاشتعال هي أدنى درجة الحرارة يمكن أن يشكل عندها مزيج مع الهواء قابل للاشتعال. وعند </w:t>
      </w:r>
      <w:hyperlink r:id="rId8" w:tooltip="درجة حرارة" w:history="1">
        <w:r w:rsidRPr="00237839">
          <w:rPr>
            <w:rFonts w:ascii="Times New Roman" w:eastAsia="Times New Roman" w:hAnsi="Times New Roman" w:cs="Times New Roman" w:hint="cs"/>
            <w:color w:val="0000FF"/>
            <w:u w:val="single"/>
            <w:rtl/>
          </w:rPr>
          <w:t>درجة الحرارة</w:t>
        </w:r>
      </w:hyperlink>
      <w:r w:rsidRPr="00237839">
        <w:rPr>
          <w:rFonts w:ascii="Times New Roman" w:eastAsia="Times New Roman" w:hAnsi="Times New Roman" w:cs="Times New Roman" w:hint="cs"/>
          <w:rtl/>
        </w:rPr>
        <w:t xml:space="preserve"> هذه يمكن إيقاف اشتعال البخار عند إزالة مصدر الإشعال. وعند درجة حرارة أعلى قليلا، </w:t>
      </w:r>
    </w:p>
    <w:p w:rsidR="00237839" w:rsidRDefault="00237839" w:rsidP="00237839">
      <w:pPr>
        <w:spacing w:before="100" w:beforeAutospacing="1" w:after="100" w:afterAutospacing="1" w:line="240" w:lineRule="auto"/>
        <w:rPr>
          <w:rFonts w:ascii="Times New Roman" w:eastAsia="Times New Roman" w:hAnsi="Times New Roman" w:cs="Times New Roman"/>
          <w:rtl/>
        </w:rPr>
      </w:pPr>
    </w:p>
    <w:p w:rsidR="00237839" w:rsidRPr="00237839" w:rsidRDefault="00237839" w:rsidP="00237839">
      <w:pPr>
        <w:spacing w:before="100" w:beforeAutospacing="1" w:after="100" w:afterAutospacing="1" w:line="240" w:lineRule="auto"/>
        <w:rPr>
          <w:rFonts w:ascii="Times New Roman" w:eastAsia="Times New Roman" w:hAnsi="Times New Roman" w:cs="Times New Roman"/>
          <w:sz w:val="44"/>
          <w:szCs w:val="44"/>
          <w:rtl/>
        </w:rPr>
      </w:pPr>
      <w:r w:rsidRPr="00237839">
        <w:rPr>
          <w:rFonts w:ascii="Times New Roman" w:eastAsia="Times New Roman" w:hAnsi="Times New Roman" w:cs="Times New Roman" w:hint="cs"/>
          <w:b/>
          <w:bCs/>
          <w:sz w:val="44"/>
          <w:szCs w:val="44"/>
          <w:rtl/>
        </w:rPr>
        <w:t>نقطة الاشتعال</w:t>
      </w:r>
      <w:r w:rsidRPr="00237839">
        <w:rPr>
          <w:rFonts w:ascii="Times New Roman" w:eastAsia="Times New Roman" w:hAnsi="Times New Roman" w:cs="Times New Roman" w:hint="cs"/>
          <w:sz w:val="44"/>
          <w:szCs w:val="44"/>
          <w:rtl/>
        </w:rPr>
        <w:t xml:space="preserve"> </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w:t>
      </w:r>
      <w:hyperlink r:id="rId9" w:tooltip="لغة إنجليزية" w:history="1">
        <w:r w:rsidRPr="00237839">
          <w:rPr>
            <w:rFonts w:ascii="Times New Roman" w:eastAsia="Times New Roman" w:hAnsi="Times New Roman" w:cs="Times New Roman" w:hint="cs"/>
            <w:color w:val="0000FF"/>
            <w:u w:val="single"/>
            <w:rtl/>
          </w:rPr>
          <w:t>بالإنجليزية</w:t>
        </w:r>
      </w:hyperlink>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Fire point</w:t>
      </w:r>
      <w:r w:rsidRPr="00237839">
        <w:rPr>
          <w:rFonts w:ascii="Times New Roman" w:eastAsia="Times New Roman" w:hAnsi="Times New Roman" w:cs="Times New Roman" w:hint="cs"/>
          <w:rtl/>
        </w:rPr>
        <w:t>‏)، تعرف بأنها درجة الحرارة التي يستمر فيها البخار بالاحتراق بعد إشعاله. لا يتعلق أي من هذه المعايير بدرجات حرارة مصدر الإشعال أو السائل المحترق، التي تكون أعلى من ذلك بكثير. تستخدم نقطة الوميض كثيرًا كسمة توصيف للوقود السائل، ولكنها تستخدم أيضًا لوصف السوائل التي لا تستخدم بغرض الوقود.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7839" w:rsidRPr="00237839" w:rsidTr="00237839">
        <w:trPr>
          <w:tblCellSpacing w:w="15" w:type="dxa"/>
        </w:trPr>
        <w:tc>
          <w:tcPr>
            <w:tcW w:w="0" w:type="auto"/>
            <w:vAlign w:val="center"/>
            <w:hideMark/>
          </w:tcPr>
          <w:p w:rsidR="00237839" w:rsidRPr="00237839" w:rsidRDefault="00237839" w:rsidP="00237839">
            <w:pPr>
              <w:spacing w:before="100" w:beforeAutospacing="1" w:after="100" w:afterAutospacing="1" w:line="240" w:lineRule="auto"/>
              <w:rPr>
                <w:rFonts w:ascii="Times New Roman" w:eastAsia="Times New Roman" w:hAnsi="Times New Roman" w:cs="Times New Roman"/>
                <w:sz w:val="24"/>
                <w:szCs w:val="24"/>
              </w:rPr>
            </w:pPr>
          </w:p>
        </w:tc>
      </w:tr>
    </w:tbl>
    <w:p w:rsidR="00237839" w:rsidRPr="00237839" w:rsidRDefault="00237839" w:rsidP="00237839">
      <w:pPr>
        <w:spacing w:before="100" w:beforeAutospacing="1" w:after="100" w:afterAutospacing="1" w:line="240" w:lineRule="auto"/>
        <w:outlineLvl w:val="1"/>
        <w:rPr>
          <w:rFonts w:ascii="Times New Roman" w:eastAsia="Times New Roman" w:hAnsi="Times New Roman" w:cs="Times New Roman"/>
          <w:b/>
          <w:bCs/>
          <w:sz w:val="36"/>
          <w:szCs w:val="36"/>
          <w:rtl/>
        </w:rPr>
      </w:pPr>
      <w:r w:rsidRPr="00237839">
        <w:rPr>
          <w:rFonts w:ascii="Times New Roman" w:eastAsia="Times New Roman" w:hAnsi="Times New Roman" w:cs="Times New Roman" w:hint="cs"/>
          <w:b/>
          <w:bCs/>
          <w:sz w:val="36"/>
          <w:szCs w:val="36"/>
          <w:rtl/>
        </w:rPr>
        <w:t>الآلية</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لكل سائل سريع الاشتعال </w:t>
      </w:r>
      <w:hyperlink r:id="rId10" w:tooltip="ضغط البخار" w:history="1">
        <w:r w:rsidRPr="00237839">
          <w:rPr>
            <w:rFonts w:ascii="Times New Roman" w:eastAsia="Times New Roman" w:hAnsi="Times New Roman" w:cs="Times New Roman" w:hint="cs"/>
            <w:color w:val="0000FF"/>
            <w:u w:val="single"/>
            <w:rtl/>
          </w:rPr>
          <w:t>ضغط بخار</w:t>
        </w:r>
      </w:hyperlink>
      <w:r w:rsidRPr="00237839">
        <w:rPr>
          <w:rFonts w:ascii="Times New Roman" w:eastAsia="Times New Roman" w:hAnsi="Times New Roman" w:cs="Times New Roman" w:hint="cs"/>
          <w:rtl/>
        </w:rPr>
        <w:t xml:space="preserve">، الذي هو تابع لدرجة حرارة السائل. وعند ارتفاع درجة الحرارة، يزداد </w:t>
      </w:r>
      <w:hyperlink r:id="rId11" w:tooltip="ضغط البخار" w:history="1">
        <w:r w:rsidRPr="00237839">
          <w:rPr>
            <w:rFonts w:ascii="Times New Roman" w:eastAsia="Times New Roman" w:hAnsi="Times New Roman" w:cs="Times New Roman" w:hint="cs"/>
            <w:color w:val="0000FF"/>
            <w:u w:val="single"/>
            <w:rtl/>
          </w:rPr>
          <w:t>ضغط البخار</w:t>
        </w:r>
      </w:hyperlink>
      <w:r w:rsidRPr="00237839">
        <w:rPr>
          <w:rFonts w:ascii="Times New Roman" w:eastAsia="Times New Roman" w:hAnsi="Times New Roman" w:cs="Times New Roman" w:hint="cs"/>
          <w:rtl/>
        </w:rPr>
        <w:t>، فيزداد تركيز السائل سريع الاشتعال المتبخر في الهواء. إذن، تحدد درجة الحرارة تركيز السائل المتبخر في الهواء تحت شروط التوازن. تتطلب السوائل سريعة الاشتعال المختلفة تراكيز مختلفة في الهواء لتدعم الاحتراق. نقطة الوميض هي أدنى درجة الحرارة يوجد عندها تركيز كاف من الوقود المتبخر في الهواء لكي ينتشر الاحتراق بعد إشعاله بمصدر الإشعال.</w:t>
      </w:r>
    </w:p>
    <w:p w:rsidR="00237839" w:rsidRPr="00237839" w:rsidRDefault="00237839" w:rsidP="00237839">
      <w:pPr>
        <w:spacing w:before="100" w:beforeAutospacing="1" w:after="100" w:afterAutospacing="1" w:line="240" w:lineRule="auto"/>
        <w:outlineLvl w:val="1"/>
        <w:rPr>
          <w:rFonts w:ascii="Times New Roman" w:eastAsia="Times New Roman" w:hAnsi="Times New Roman" w:cs="Times New Roman"/>
          <w:b/>
          <w:bCs/>
          <w:sz w:val="36"/>
          <w:szCs w:val="36"/>
          <w:rtl/>
        </w:rPr>
      </w:pPr>
      <w:r w:rsidRPr="00237839">
        <w:rPr>
          <w:rFonts w:ascii="Times New Roman" w:eastAsia="Times New Roman" w:hAnsi="Times New Roman" w:cs="Times New Roman" w:hint="cs"/>
          <w:b/>
          <w:bCs/>
          <w:sz w:val="36"/>
          <w:szCs w:val="36"/>
          <w:rtl/>
        </w:rPr>
        <w:t>قياس نقطة الوميض</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وهناك نوعان أساسيان لقياس نقطة الوميض: </w:t>
      </w:r>
      <w:r w:rsidRPr="00237839">
        <w:rPr>
          <w:rFonts w:ascii="Times New Roman" w:eastAsia="Times New Roman" w:hAnsi="Times New Roman" w:cs="Times New Roman" w:hint="cs"/>
          <w:b/>
          <w:bCs/>
          <w:rtl/>
        </w:rPr>
        <w:t>طريقة الكأس المفتوحة</w:t>
      </w:r>
      <w:r w:rsidRPr="00237839">
        <w:rPr>
          <w:rFonts w:ascii="Times New Roman" w:eastAsia="Times New Roman" w:hAnsi="Times New Roman" w:cs="Times New Roman" w:hint="cs"/>
          <w:rtl/>
        </w:rPr>
        <w:t xml:space="preserve"> و</w:t>
      </w:r>
      <w:r w:rsidRPr="00237839">
        <w:rPr>
          <w:rFonts w:ascii="Times New Roman" w:eastAsia="Times New Roman" w:hAnsi="Times New Roman" w:cs="Times New Roman" w:hint="cs"/>
          <w:b/>
          <w:bCs/>
          <w:rtl/>
        </w:rPr>
        <w:t>طريقة الكأس المغلقة</w:t>
      </w:r>
      <w:r w:rsidRPr="00237839">
        <w:rPr>
          <w:rFonts w:ascii="Times New Roman" w:eastAsia="Times New Roman" w:hAnsi="Times New Roman" w:cs="Times New Roman" w:hint="cs"/>
          <w:rtl/>
        </w:rPr>
        <w:t>.</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في أجهزة الكأس المفتوحة، تكون العينة محتواة في كأس مفتوحة (ومن هنا جاءت التسمية) التي تسخن، وعلى فترات يتم تمرير اللهب فوق السطح. إن نقطة الوميض المقاسة سوف تتفاوت في الواقع مع ارتفاع اللهب فوق سطح السائل، وعند ارتفاع كاف فإن درجة حرارة نقطة الوميض وسوف تتزامن مع درجة </w:t>
      </w:r>
      <w:hyperlink r:id="rId12" w:tooltip="نقطة الاشتعال" w:history="1">
        <w:r w:rsidRPr="00237839">
          <w:rPr>
            <w:rFonts w:ascii="Times New Roman" w:eastAsia="Times New Roman" w:hAnsi="Times New Roman" w:cs="Times New Roman" w:hint="cs"/>
            <w:color w:val="0000FF"/>
            <w:u w:val="single"/>
            <w:rtl/>
          </w:rPr>
          <w:t>نقطة الاشتعال</w:t>
        </w:r>
      </w:hyperlink>
      <w:r w:rsidRPr="00237839">
        <w:rPr>
          <w:rFonts w:ascii="Times New Roman" w:eastAsia="Times New Roman" w:hAnsi="Times New Roman" w:cs="Times New Roman" w:hint="cs"/>
          <w:rtl/>
        </w:rPr>
        <w:t xml:space="preserve">. ومن الأمثلة على هذه الطريقة: </w:t>
      </w:r>
      <w:hyperlink r:id="rId13" w:tooltip="طريقة الكأس المفتوحة كليفلاند (الصفحة غير موجودة)" w:history="1">
        <w:r w:rsidRPr="00237839">
          <w:rPr>
            <w:rFonts w:ascii="Times New Roman" w:eastAsia="Times New Roman" w:hAnsi="Times New Roman" w:cs="Times New Roman" w:hint="cs"/>
            <w:color w:val="BA0000"/>
            <w:u w:val="single"/>
            <w:rtl/>
          </w:rPr>
          <w:t>طريقة الكأس المفتوحة كليفلاند</w:t>
        </w:r>
      </w:hyperlink>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COC</w:t>
      </w:r>
      <w:r w:rsidRPr="00237839">
        <w:rPr>
          <w:rFonts w:ascii="Times New Roman" w:eastAsia="Times New Roman" w:hAnsi="Times New Roman" w:cs="Times New Roman" w:hint="cs"/>
          <w:rtl/>
        </w:rPr>
        <w:t xml:space="preserve">) </w:t>
      </w:r>
      <w:hyperlink r:id="rId14" w:tooltip="طريقة الكأس المفتوحة بينسكي - مارتنز (الصفحة غير موجودة)" w:history="1">
        <w:r w:rsidRPr="00237839">
          <w:rPr>
            <w:rFonts w:ascii="Times New Roman" w:eastAsia="Times New Roman" w:hAnsi="Times New Roman" w:cs="Times New Roman" w:hint="cs"/>
            <w:color w:val="BA0000"/>
            <w:u w:val="single"/>
            <w:rtl/>
          </w:rPr>
          <w:t xml:space="preserve">وطريقة الكأس المفتوحة </w:t>
        </w:r>
        <w:proofErr w:type="spellStart"/>
        <w:r w:rsidRPr="00237839">
          <w:rPr>
            <w:rFonts w:ascii="Times New Roman" w:eastAsia="Times New Roman" w:hAnsi="Times New Roman" w:cs="Times New Roman" w:hint="cs"/>
            <w:color w:val="BA0000"/>
            <w:u w:val="single"/>
            <w:rtl/>
          </w:rPr>
          <w:t>بينسكي</w:t>
        </w:r>
        <w:proofErr w:type="spellEnd"/>
        <w:r w:rsidRPr="00237839">
          <w:rPr>
            <w:rFonts w:ascii="Times New Roman" w:eastAsia="Times New Roman" w:hAnsi="Times New Roman" w:cs="Times New Roman" w:hint="cs"/>
            <w:color w:val="BA0000"/>
            <w:u w:val="single"/>
            <w:rtl/>
          </w:rPr>
          <w:t xml:space="preserve"> - </w:t>
        </w:r>
        <w:proofErr w:type="spellStart"/>
        <w:r w:rsidRPr="00237839">
          <w:rPr>
            <w:rFonts w:ascii="Times New Roman" w:eastAsia="Times New Roman" w:hAnsi="Times New Roman" w:cs="Times New Roman" w:hint="cs"/>
            <w:color w:val="BA0000"/>
            <w:u w:val="single"/>
            <w:rtl/>
          </w:rPr>
          <w:t>مارتنز</w:t>
        </w:r>
        <w:proofErr w:type="spellEnd"/>
      </w:hyperlink>
      <w:r w:rsidRPr="00237839">
        <w:rPr>
          <w:rFonts w:ascii="Times New Roman" w:eastAsia="Times New Roman" w:hAnsi="Times New Roman" w:cs="Times New Roman" w:hint="cs"/>
          <w:rtl/>
        </w:rPr>
        <w:t>. والفرق الرئيسي هو أن الكأس تسخن من الأسفل في الطريقة الأولى، في حين أن الكأس تسخن من الجوانب والأسفل في الطريقة الثانية.</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أجهزة اختبار الكأس المغلقة، ومثال عنها </w:t>
      </w:r>
      <w:hyperlink r:id="rId15" w:tooltip="طريقة الكأس المغلقة بينسكي – مارتنز (الصفحة غير موجودة)" w:history="1">
        <w:r w:rsidRPr="00237839">
          <w:rPr>
            <w:rFonts w:ascii="Times New Roman" w:eastAsia="Times New Roman" w:hAnsi="Times New Roman" w:cs="Times New Roman" w:hint="cs"/>
            <w:color w:val="BA0000"/>
            <w:u w:val="single"/>
            <w:rtl/>
          </w:rPr>
          <w:t>طريقة الكأس المغلقة بينسكي – مارتنز</w:t>
        </w:r>
      </w:hyperlink>
      <w:r w:rsidRPr="00237839">
        <w:rPr>
          <w:rFonts w:ascii="Times New Roman" w:eastAsia="Times New Roman" w:hAnsi="Times New Roman" w:cs="Times New Roman" w:hint="cs"/>
          <w:rtl/>
        </w:rPr>
        <w:t xml:space="preserve">، مختومة مع غطاء يتم إدخال مصدر الإشعال من خلاله دوريًا. يفترض أن البخار فوق السائل في توازن معقول مع السائل. إن أجهزة طريقة الكأس المغلقة تعطي قيم أدنى لنقطة الوميض (عادة 5-10 </w:t>
      </w:r>
      <w:hyperlink r:id="rId16" w:tooltip="كلفن" w:history="1">
        <w:r w:rsidRPr="00237839">
          <w:rPr>
            <w:rFonts w:ascii="Times New Roman" w:eastAsia="Times New Roman" w:hAnsi="Times New Roman" w:cs="Times New Roman" w:hint="cs"/>
            <w:color w:val="0000FF"/>
            <w:u w:val="single"/>
            <w:rtl/>
          </w:rPr>
          <w:t>كلفن</w:t>
        </w:r>
      </w:hyperlink>
      <w:r w:rsidRPr="00237839">
        <w:rPr>
          <w:rFonts w:ascii="Times New Roman" w:eastAsia="Times New Roman" w:hAnsi="Times New Roman" w:cs="Times New Roman" w:hint="cs"/>
          <w:rtl/>
        </w:rPr>
        <w:t xml:space="preserve">) وهي تعطي تقديرًا أفضل لدرجة الحرارة التي يصل عندها ضغط البخار إلى </w:t>
      </w:r>
      <w:hyperlink r:id="rId17" w:tooltip="حد أدنى مشتعل (الصفحة غير موجودة)" w:history="1">
        <w:r w:rsidRPr="00237839">
          <w:rPr>
            <w:rFonts w:ascii="Times New Roman" w:eastAsia="Times New Roman" w:hAnsi="Times New Roman" w:cs="Times New Roman" w:hint="cs"/>
            <w:color w:val="BA0000"/>
            <w:u w:val="single"/>
            <w:rtl/>
          </w:rPr>
          <w:t>الحد الأدنى المشتعل</w:t>
        </w:r>
      </w:hyperlink>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LFL</w:t>
      </w:r>
      <w:r w:rsidRPr="00237839">
        <w:rPr>
          <w:rFonts w:ascii="Times New Roman" w:eastAsia="Times New Roman" w:hAnsi="Times New Roman" w:cs="Times New Roman" w:hint="cs"/>
          <w:rtl/>
        </w:rPr>
        <w:t>).</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نقطة الوميض هي قياس تجريبي بدلا من المتغيرات الفيزيائية الأساسية. ستختلف القيمة المقاسة مع اختلاف المعدات وطريقة الاختبار، بما فيها معدل زيادة درجة الحرارة (في آلات الاختبارالآلية)، والوقت المتروك للعينة لكي تتوازن، حجم العينة وإذا تم تحريك العينة.</w:t>
      </w:r>
    </w:p>
    <w:p w:rsid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فصلت طرق تحديد نقطة الوميض لسائل ما في العديد من المعايير القياسية. فعلى سبيل المثال، فصلت طريقة الكأس المغلقة بينسكي – مارتنز في </w:t>
      </w:r>
      <w:r w:rsidRPr="00237839">
        <w:rPr>
          <w:rFonts w:ascii="Times New Roman" w:eastAsia="Times New Roman" w:hAnsi="Times New Roman" w:cs="Times New Roman" w:hint="cs"/>
        </w:rPr>
        <w:t>ASTM D93</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IP34</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ISO 2719</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DIN 51758</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JIS K2265</w:t>
      </w:r>
      <w:r w:rsidRPr="00237839">
        <w:rPr>
          <w:rFonts w:ascii="Times New Roman" w:eastAsia="Times New Roman" w:hAnsi="Times New Roman" w:cs="Times New Roman" w:hint="cs"/>
          <w:rtl/>
        </w:rPr>
        <w:t xml:space="preserve"> و</w:t>
      </w:r>
      <w:r w:rsidRPr="00237839">
        <w:rPr>
          <w:rFonts w:ascii="Times New Roman" w:eastAsia="Times New Roman" w:hAnsi="Times New Roman" w:cs="Times New Roman" w:hint="cs"/>
        </w:rPr>
        <w:t>AFNOR M07-019</w:t>
      </w:r>
      <w:r w:rsidRPr="00237839">
        <w:rPr>
          <w:rFonts w:ascii="Times New Roman" w:eastAsia="Times New Roman" w:hAnsi="Times New Roman" w:cs="Times New Roman" w:hint="cs"/>
          <w:rtl/>
        </w:rPr>
        <w:t xml:space="preserve">. وفصلت طريقة الكأس المغلقة المتوازن في </w:t>
      </w:r>
      <w:r w:rsidRPr="00237839">
        <w:rPr>
          <w:rFonts w:ascii="Times New Roman" w:eastAsia="Times New Roman" w:hAnsi="Times New Roman" w:cs="Times New Roman" w:hint="cs"/>
        </w:rPr>
        <w:t>ISO</w:t>
      </w:r>
      <w:r w:rsidRPr="00237839">
        <w:rPr>
          <w:rFonts w:ascii="Times New Roman" w:eastAsia="Times New Roman" w:hAnsi="Times New Roman" w:cs="Times New Roman" w:hint="cs"/>
          <w:rtl/>
        </w:rPr>
        <w:t xml:space="preserve"> 1523 :2002.</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p>
    <w:p w:rsidR="00237839" w:rsidRPr="00237839" w:rsidRDefault="00237839" w:rsidP="00237839">
      <w:pPr>
        <w:spacing w:before="100" w:beforeAutospacing="1" w:after="100" w:afterAutospacing="1" w:line="240" w:lineRule="auto"/>
        <w:outlineLvl w:val="1"/>
        <w:rPr>
          <w:rFonts w:ascii="Times New Roman" w:eastAsia="Times New Roman" w:hAnsi="Times New Roman" w:cs="Times New Roman"/>
          <w:b/>
          <w:bCs/>
          <w:sz w:val="36"/>
          <w:szCs w:val="36"/>
          <w:rtl/>
        </w:rPr>
      </w:pPr>
      <w:r w:rsidRPr="00237839">
        <w:rPr>
          <w:rFonts w:ascii="Times New Roman" w:eastAsia="Times New Roman" w:hAnsi="Times New Roman" w:cs="Times New Roman" w:hint="cs"/>
          <w:b/>
          <w:bCs/>
          <w:sz w:val="36"/>
          <w:szCs w:val="36"/>
          <w:rtl/>
        </w:rPr>
        <w:lastRenderedPageBreak/>
        <w:t>أمثلة عن نقطة الوميض</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يستخدم </w:t>
      </w:r>
      <w:hyperlink r:id="rId18" w:tooltip="غازولين" w:history="1">
        <w:r w:rsidRPr="00237839">
          <w:rPr>
            <w:rFonts w:ascii="Times New Roman" w:eastAsia="Times New Roman" w:hAnsi="Times New Roman" w:cs="Times New Roman" w:hint="cs"/>
            <w:color w:val="0000FF"/>
            <w:u w:val="single"/>
            <w:rtl/>
          </w:rPr>
          <w:t>الغازولين</w:t>
        </w:r>
      </w:hyperlink>
      <w:r w:rsidRPr="00237839">
        <w:rPr>
          <w:rFonts w:ascii="Times New Roman" w:eastAsia="Times New Roman" w:hAnsi="Times New Roman" w:cs="Times New Roman" w:hint="cs"/>
          <w:rtl/>
        </w:rPr>
        <w:t xml:space="preserve"> (</w:t>
      </w:r>
      <w:hyperlink r:id="rId19" w:tooltip="بنزين" w:history="1">
        <w:r w:rsidRPr="00237839">
          <w:rPr>
            <w:rFonts w:ascii="Times New Roman" w:eastAsia="Times New Roman" w:hAnsi="Times New Roman" w:cs="Times New Roman" w:hint="cs"/>
            <w:color w:val="0000FF"/>
            <w:u w:val="single"/>
            <w:rtl/>
          </w:rPr>
          <w:t>البنزين</w:t>
        </w:r>
      </w:hyperlink>
      <w:r w:rsidRPr="00237839">
        <w:rPr>
          <w:rFonts w:ascii="Times New Roman" w:eastAsia="Times New Roman" w:hAnsi="Times New Roman" w:cs="Times New Roman" w:hint="cs"/>
          <w:rtl/>
        </w:rPr>
        <w:t xml:space="preserve">) في </w:t>
      </w:r>
      <w:hyperlink r:id="rId20" w:tooltip="محرك" w:history="1">
        <w:r w:rsidRPr="00237839">
          <w:rPr>
            <w:rFonts w:ascii="Times New Roman" w:eastAsia="Times New Roman" w:hAnsi="Times New Roman" w:cs="Times New Roman" w:hint="cs"/>
            <w:color w:val="0000FF"/>
            <w:u w:val="single"/>
            <w:rtl/>
          </w:rPr>
          <w:t>محرك</w:t>
        </w:r>
      </w:hyperlink>
      <w:r w:rsidRPr="00237839">
        <w:rPr>
          <w:rFonts w:ascii="Times New Roman" w:eastAsia="Times New Roman" w:hAnsi="Times New Roman" w:cs="Times New Roman" w:hint="cs"/>
          <w:rtl/>
        </w:rPr>
        <w:t xml:space="preserve"> يعمل </w:t>
      </w:r>
      <w:hyperlink r:id="rId21" w:tooltip="شرارة (الصفحة غير موجودة)" w:history="1">
        <w:r w:rsidRPr="00237839">
          <w:rPr>
            <w:rFonts w:ascii="Times New Roman" w:eastAsia="Times New Roman" w:hAnsi="Times New Roman" w:cs="Times New Roman" w:hint="cs"/>
            <w:color w:val="BA0000"/>
            <w:u w:val="single"/>
            <w:rtl/>
          </w:rPr>
          <w:t>بالشرارة</w:t>
        </w:r>
      </w:hyperlink>
      <w:r w:rsidRPr="00237839">
        <w:rPr>
          <w:rFonts w:ascii="Times New Roman" w:eastAsia="Times New Roman" w:hAnsi="Times New Roman" w:cs="Times New Roman" w:hint="cs"/>
          <w:rtl/>
        </w:rPr>
        <w:t xml:space="preserve">. ينبغي أن يكون الوقود ممزوجًا مسبقًا مع الهواء ضمن </w:t>
      </w:r>
      <w:hyperlink r:id="rId22" w:tooltip="حد أدنى مشتعل (الصفحة غير موجودة)" w:history="1">
        <w:r w:rsidRPr="00237839">
          <w:rPr>
            <w:rFonts w:ascii="Times New Roman" w:eastAsia="Times New Roman" w:hAnsi="Times New Roman" w:cs="Times New Roman" w:hint="cs"/>
            <w:color w:val="BA0000"/>
            <w:u w:val="single"/>
            <w:rtl/>
          </w:rPr>
          <w:t>الحد الأدنى المشتعل</w:t>
        </w:r>
      </w:hyperlink>
      <w:r w:rsidRPr="00237839">
        <w:rPr>
          <w:rFonts w:ascii="Times New Roman" w:eastAsia="Times New Roman" w:hAnsi="Times New Roman" w:cs="Times New Roman" w:hint="cs"/>
          <w:rtl/>
        </w:rPr>
        <w:t xml:space="preserve"> ومسخن فوق نقطة الوميض، ثم يشعل بواسطة </w:t>
      </w:r>
      <w:hyperlink r:id="rId23" w:tooltip="شمعة احتراق" w:history="1">
        <w:r w:rsidRPr="00237839">
          <w:rPr>
            <w:rFonts w:ascii="Times New Roman" w:eastAsia="Times New Roman" w:hAnsi="Times New Roman" w:cs="Times New Roman" w:hint="cs"/>
            <w:color w:val="0000FF"/>
            <w:u w:val="single"/>
            <w:rtl/>
          </w:rPr>
          <w:t>شمعة الاحتراق</w:t>
        </w:r>
      </w:hyperlink>
      <w:r w:rsidRPr="00237839">
        <w:rPr>
          <w:rFonts w:ascii="Times New Roman" w:eastAsia="Times New Roman" w:hAnsi="Times New Roman" w:cs="Times New Roman" w:hint="cs"/>
          <w:rtl/>
        </w:rPr>
        <w:t xml:space="preserve">. ينبغي على الوقود أن لا يشتعل مسبقًا في المحرك الساخن. ولذلك، مطلوب من البنزين أن يكون له نقطة وميض منخفضة ودرجة حرارة مرتفعة </w:t>
      </w:r>
      <w:hyperlink r:id="rId24" w:tooltip="درجة حرارة الاشتعال الذاتي" w:history="1">
        <w:r w:rsidRPr="00237839">
          <w:rPr>
            <w:rFonts w:ascii="Times New Roman" w:eastAsia="Times New Roman" w:hAnsi="Times New Roman" w:cs="Times New Roman" w:hint="cs"/>
            <w:color w:val="0000FF"/>
            <w:u w:val="single"/>
            <w:rtl/>
          </w:rPr>
          <w:t>للاشتعال الذاتي</w:t>
        </w:r>
      </w:hyperlink>
      <w:r w:rsidRPr="00237839">
        <w:rPr>
          <w:rFonts w:ascii="Times New Roman" w:eastAsia="Times New Roman" w:hAnsi="Times New Roman" w:cs="Times New Roman" w:hint="cs"/>
          <w:rtl/>
        </w:rPr>
        <w:t>.</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يستخدم </w:t>
      </w:r>
      <w:hyperlink r:id="rId25" w:tooltip="ديزل" w:history="1">
        <w:r w:rsidRPr="00237839">
          <w:rPr>
            <w:rFonts w:ascii="Times New Roman" w:eastAsia="Times New Roman" w:hAnsi="Times New Roman" w:cs="Times New Roman" w:hint="cs"/>
            <w:color w:val="0000FF"/>
            <w:u w:val="single"/>
            <w:rtl/>
          </w:rPr>
          <w:t>الديزل</w:t>
        </w:r>
      </w:hyperlink>
      <w:r w:rsidRPr="00237839">
        <w:rPr>
          <w:rFonts w:ascii="Times New Roman" w:eastAsia="Times New Roman" w:hAnsi="Times New Roman" w:cs="Times New Roman" w:hint="cs"/>
          <w:rtl/>
        </w:rPr>
        <w:t xml:space="preserve"> في محركات عالية الانضغاط. يضغط الهواء حتى يسخن فوق </w:t>
      </w:r>
      <w:hyperlink r:id="rId26" w:tooltip="درجة حرارة الاشتعال الذاتي" w:history="1">
        <w:r w:rsidRPr="00237839">
          <w:rPr>
            <w:rFonts w:ascii="Times New Roman" w:eastAsia="Times New Roman" w:hAnsi="Times New Roman" w:cs="Times New Roman" w:hint="cs"/>
            <w:color w:val="0000FF"/>
            <w:u w:val="single"/>
            <w:rtl/>
          </w:rPr>
          <w:t>درجة حرارة الاشتعال الذاتي</w:t>
        </w:r>
      </w:hyperlink>
      <w:r w:rsidRPr="00237839">
        <w:rPr>
          <w:rFonts w:ascii="Times New Roman" w:eastAsia="Times New Roman" w:hAnsi="Times New Roman" w:cs="Times New Roman" w:hint="cs"/>
          <w:rtl/>
        </w:rPr>
        <w:t xml:space="preserve"> للديزل؛ ثم يحقن الوقود كرذاذ بضغط عال، مبقيًا مزيج الهواء مع الوقود ضمن حدود الاشتعال لوقود الديزل. لا يوجد أي مصدر للإشعال. ولذلك، يجب على الديزل أن يكون له نقطة وميض عالية، ودرجة حرارة منخفضة للاشتعال الذاتي.</w:t>
      </w:r>
    </w:p>
    <w:tbl>
      <w:tblPr>
        <w:bidiVisual/>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735"/>
        <w:gridCol w:w="1559"/>
        <w:gridCol w:w="2835"/>
      </w:tblGrid>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b/>
                <w:bCs/>
                <w:sz w:val="24"/>
                <w:szCs w:val="24"/>
              </w:rPr>
            </w:pPr>
            <w:r w:rsidRPr="00237839">
              <w:rPr>
                <w:rFonts w:ascii="Times New Roman" w:eastAsia="Times New Roman" w:hAnsi="Times New Roman" w:cs="Times New Roman"/>
                <w:b/>
                <w:bCs/>
                <w:sz w:val="24"/>
                <w:szCs w:val="24"/>
                <w:rtl/>
              </w:rPr>
              <w:t>الوقود</w:t>
            </w:r>
          </w:p>
        </w:tc>
        <w:tc>
          <w:tcPr>
            <w:tcW w:w="155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b/>
                <w:bCs/>
                <w:sz w:val="24"/>
                <w:szCs w:val="24"/>
              </w:rPr>
            </w:pPr>
            <w:r w:rsidRPr="00237839">
              <w:rPr>
                <w:rFonts w:ascii="Times New Roman" w:eastAsia="Times New Roman" w:hAnsi="Times New Roman" w:cs="Times New Roman"/>
                <w:b/>
                <w:bCs/>
                <w:sz w:val="24"/>
                <w:szCs w:val="24"/>
                <w:rtl/>
              </w:rPr>
              <w:t>نقطة الوميض °م</w:t>
            </w:r>
          </w:p>
        </w:tc>
        <w:tc>
          <w:tcPr>
            <w:tcW w:w="283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b/>
                <w:bCs/>
                <w:sz w:val="24"/>
                <w:szCs w:val="24"/>
              </w:rPr>
            </w:pPr>
            <w:r w:rsidRPr="00237839">
              <w:rPr>
                <w:rFonts w:ascii="Times New Roman" w:eastAsia="Times New Roman" w:hAnsi="Times New Roman" w:cs="Times New Roman"/>
                <w:b/>
                <w:bCs/>
                <w:sz w:val="24"/>
                <w:szCs w:val="24"/>
                <w:rtl/>
              </w:rPr>
              <w:t>درجة حرارة</w:t>
            </w:r>
            <w:r w:rsidRPr="00237839">
              <w:rPr>
                <w:rFonts w:ascii="Times New Roman" w:eastAsia="Times New Roman" w:hAnsi="Times New Roman" w:cs="Times New Roman"/>
                <w:b/>
                <w:bCs/>
                <w:sz w:val="24"/>
                <w:szCs w:val="24"/>
              </w:rPr>
              <w:br/>
            </w:r>
            <w:r w:rsidRPr="00237839">
              <w:rPr>
                <w:rFonts w:ascii="Times New Roman" w:eastAsia="Times New Roman" w:hAnsi="Times New Roman" w:cs="Times New Roman"/>
                <w:b/>
                <w:bCs/>
                <w:sz w:val="24"/>
                <w:szCs w:val="24"/>
                <w:rtl/>
              </w:rPr>
              <w:t>الاشتعال الذاتي °م</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27" w:tooltip="إيثانول" w:history="1">
              <w:r w:rsidR="00237839" w:rsidRPr="00237839">
                <w:rPr>
                  <w:rFonts w:ascii="Times New Roman" w:eastAsia="Times New Roman" w:hAnsi="Times New Roman" w:cs="Times New Roman"/>
                  <w:color w:val="0000FF"/>
                  <w:sz w:val="24"/>
                  <w:szCs w:val="24"/>
                  <w:u w:val="single"/>
                  <w:rtl/>
                </w:rPr>
                <w:t>إيثانول</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12.8</w:t>
            </w:r>
          </w:p>
        </w:tc>
        <w:tc>
          <w:tcPr>
            <w:tcW w:w="28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365</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28" w:tooltip="بنزين (وقود)" w:history="1">
              <w:r w:rsidR="00237839" w:rsidRPr="00237839">
                <w:rPr>
                  <w:rFonts w:ascii="Times New Roman" w:eastAsia="Times New Roman" w:hAnsi="Times New Roman" w:cs="Times New Roman"/>
                  <w:color w:val="0000FF"/>
                  <w:sz w:val="24"/>
                  <w:szCs w:val="24"/>
                  <w:u w:val="single"/>
                  <w:rtl/>
                </w:rPr>
                <w:t>بنزين</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&lt;-40</w:t>
            </w:r>
          </w:p>
        </w:tc>
        <w:tc>
          <w:tcPr>
            <w:tcW w:w="28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246</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29" w:tooltip="ديزل" w:history="1">
              <w:r w:rsidR="00237839" w:rsidRPr="00237839">
                <w:rPr>
                  <w:rFonts w:ascii="Times New Roman" w:eastAsia="Times New Roman" w:hAnsi="Times New Roman" w:cs="Times New Roman"/>
                  <w:color w:val="0000FF"/>
                  <w:sz w:val="24"/>
                  <w:szCs w:val="24"/>
                  <w:u w:val="single"/>
                  <w:rtl/>
                </w:rPr>
                <w:t>ديزل</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&gt;62</w:t>
            </w:r>
          </w:p>
        </w:tc>
        <w:tc>
          <w:tcPr>
            <w:tcW w:w="28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210</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30" w:tooltip="وقود النفاثات (الصفحة غير موجودة)" w:history="1">
              <w:r w:rsidR="00237839" w:rsidRPr="00237839">
                <w:rPr>
                  <w:rFonts w:ascii="Times New Roman" w:eastAsia="Times New Roman" w:hAnsi="Times New Roman" w:cs="Times New Roman"/>
                  <w:color w:val="BA0000"/>
                  <w:sz w:val="24"/>
                  <w:szCs w:val="24"/>
                  <w:u w:val="single"/>
                  <w:rtl/>
                </w:rPr>
                <w:t>وقود</w:t>
              </w:r>
              <w:r w:rsidR="00237839" w:rsidRPr="00237839">
                <w:rPr>
                  <w:rFonts w:ascii="Times New Roman" w:eastAsia="Times New Roman" w:hAnsi="Times New Roman" w:cs="Times New Roman"/>
                  <w:color w:val="BA0000"/>
                  <w:sz w:val="24"/>
                  <w:szCs w:val="24"/>
                  <w:u w:val="single"/>
                </w:rPr>
                <w:t xml:space="preserve"> </w:t>
              </w:r>
              <w:r w:rsidR="00237839" w:rsidRPr="00237839">
                <w:rPr>
                  <w:rFonts w:ascii="Times New Roman" w:eastAsia="Times New Roman" w:hAnsi="Times New Roman" w:cs="Times New Roman"/>
                  <w:color w:val="BA0000"/>
                  <w:sz w:val="24"/>
                  <w:szCs w:val="24"/>
                  <w:u w:val="single"/>
                  <w:rtl/>
                </w:rPr>
                <w:t>النفاثات</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&gt;38</w:t>
            </w:r>
          </w:p>
        </w:tc>
        <w:tc>
          <w:tcPr>
            <w:tcW w:w="28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210</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31" w:tooltip="كيروسين" w:history="1">
              <w:r w:rsidR="00237839" w:rsidRPr="00237839">
                <w:rPr>
                  <w:rFonts w:ascii="Times New Roman" w:eastAsia="Times New Roman" w:hAnsi="Times New Roman" w:cs="Times New Roman"/>
                  <w:color w:val="0000FF"/>
                  <w:sz w:val="24"/>
                  <w:szCs w:val="24"/>
                  <w:u w:val="single"/>
                  <w:rtl/>
                </w:rPr>
                <w:t>كيروسين</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&gt;38-72</w:t>
            </w:r>
          </w:p>
        </w:tc>
        <w:tc>
          <w:tcPr>
            <w:tcW w:w="28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220</w:t>
            </w:r>
          </w:p>
        </w:tc>
      </w:tr>
      <w:tr w:rsidR="00237839" w:rsidRPr="00237839" w:rsidTr="00237839">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32" w:tooltip="زيت نباتي" w:history="1">
              <w:r w:rsidR="00237839" w:rsidRPr="00237839">
                <w:rPr>
                  <w:rFonts w:ascii="Times New Roman" w:eastAsia="Times New Roman" w:hAnsi="Times New Roman" w:cs="Times New Roman"/>
                  <w:color w:val="0000FF"/>
                  <w:sz w:val="24"/>
                  <w:szCs w:val="24"/>
                  <w:u w:val="single"/>
                  <w:rtl/>
                </w:rPr>
                <w:t>زيت</w:t>
              </w:r>
              <w:r w:rsidR="00237839" w:rsidRPr="00237839">
                <w:rPr>
                  <w:rFonts w:ascii="Times New Roman" w:eastAsia="Times New Roman" w:hAnsi="Times New Roman" w:cs="Times New Roman"/>
                  <w:color w:val="0000FF"/>
                  <w:sz w:val="24"/>
                  <w:szCs w:val="24"/>
                  <w:u w:val="single"/>
                </w:rPr>
                <w:t xml:space="preserve"> </w:t>
              </w:r>
              <w:r w:rsidR="00237839" w:rsidRPr="00237839">
                <w:rPr>
                  <w:rFonts w:ascii="Times New Roman" w:eastAsia="Times New Roman" w:hAnsi="Times New Roman" w:cs="Times New Roman"/>
                  <w:color w:val="0000FF"/>
                  <w:sz w:val="24"/>
                  <w:szCs w:val="24"/>
                  <w:u w:val="single"/>
                  <w:rtl/>
                </w:rPr>
                <w:t>نباتي</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327</w:t>
            </w:r>
          </w:p>
        </w:tc>
        <w:tc>
          <w:tcPr>
            <w:tcW w:w="2835" w:type="dxa"/>
            <w:shd w:val="clear" w:color="auto" w:fill="F9F9F9"/>
            <w:vAlign w:val="center"/>
            <w:hideMark/>
          </w:tcPr>
          <w:p w:rsidR="00237839" w:rsidRPr="00237839" w:rsidRDefault="00237839" w:rsidP="00237839">
            <w:pPr>
              <w:bidi w:val="0"/>
              <w:spacing w:after="0" w:line="240" w:lineRule="auto"/>
              <w:jc w:val="center"/>
              <w:rPr>
                <w:rFonts w:ascii="Times New Roman" w:eastAsia="Times New Roman" w:hAnsi="Times New Roman" w:cs="Times New Roman"/>
                <w:sz w:val="20"/>
                <w:szCs w:val="20"/>
              </w:rPr>
            </w:pPr>
          </w:p>
        </w:tc>
      </w:tr>
      <w:tr w:rsidR="00237839" w:rsidRPr="00237839" w:rsidTr="00237839">
        <w:trPr>
          <w:trHeight w:val="26"/>
        </w:trPr>
        <w:tc>
          <w:tcPr>
            <w:tcW w:w="17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1C3E4F" w:rsidP="00237839">
            <w:pPr>
              <w:spacing w:before="240" w:after="240" w:line="240" w:lineRule="auto"/>
              <w:jc w:val="center"/>
              <w:rPr>
                <w:rFonts w:ascii="Times New Roman" w:eastAsia="Times New Roman" w:hAnsi="Times New Roman" w:cs="Times New Roman"/>
                <w:sz w:val="24"/>
                <w:szCs w:val="24"/>
              </w:rPr>
            </w:pPr>
            <w:hyperlink r:id="rId33" w:tooltip="بيوديزل" w:history="1">
              <w:r w:rsidR="00237839" w:rsidRPr="00237839">
                <w:rPr>
                  <w:rFonts w:ascii="Times New Roman" w:eastAsia="Times New Roman" w:hAnsi="Times New Roman" w:cs="Times New Roman"/>
                  <w:color w:val="0000FF"/>
                  <w:sz w:val="24"/>
                  <w:szCs w:val="24"/>
                  <w:u w:val="single"/>
                  <w:rtl/>
                </w:rPr>
                <w:t>بيوديزل</w:t>
              </w:r>
            </w:hyperlink>
          </w:p>
        </w:tc>
        <w:tc>
          <w:tcPr>
            <w:tcW w:w="155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7839" w:rsidRPr="00237839" w:rsidRDefault="00237839" w:rsidP="00237839">
            <w:pPr>
              <w:spacing w:before="240" w:after="240" w:line="240" w:lineRule="auto"/>
              <w:jc w:val="center"/>
              <w:rPr>
                <w:rFonts w:ascii="Times New Roman" w:eastAsia="Times New Roman" w:hAnsi="Times New Roman" w:cs="Times New Roman"/>
                <w:sz w:val="24"/>
                <w:szCs w:val="24"/>
              </w:rPr>
            </w:pPr>
            <w:r w:rsidRPr="00237839">
              <w:rPr>
                <w:rFonts w:ascii="Times New Roman" w:eastAsia="Times New Roman" w:hAnsi="Times New Roman" w:cs="Times New Roman"/>
                <w:sz w:val="24"/>
                <w:szCs w:val="24"/>
              </w:rPr>
              <w:t>&gt;130</w:t>
            </w:r>
          </w:p>
        </w:tc>
        <w:tc>
          <w:tcPr>
            <w:tcW w:w="2835" w:type="dxa"/>
            <w:shd w:val="clear" w:color="auto" w:fill="F9F9F9"/>
            <w:vAlign w:val="center"/>
            <w:hideMark/>
          </w:tcPr>
          <w:p w:rsidR="00237839" w:rsidRPr="00237839" w:rsidRDefault="00237839" w:rsidP="00237839">
            <w:pPr>
              <w:bidi w:val="0"/>
              <w:spacing w:after="0" w:line="240" w:lineRule="auto"/>
              <w:rPr>
                <w:rFonts w:ascii="Times New Roman" w:eastAsia="Times New Roman" w:hAnsi="Times New Roman" w:cs="Times New Roman"/>
                <w:sz w:val="20"/>
                <w:szCs w:val="20"/>
              </w:rPr>
            </w:pPr>
          </w:p>
        </w:tc>
      </w:tr>
    </w:tbl>
    <w:p w:rsidR="00237839" w:rsidRPr="00237839" w:rsidRDefault="00237839" w:rsidP="00237839">
      <w:pPr>
        <w:spacing w:before="100" w:beforeAutospacing="1" w:after="100" w:afterAutospacing="1" w:line="240" w:lineRule="auto"/>
        <w:outlineLvl w:val="1"/>
        <w:rPr>
          <w:rFonts w:ascii="Times New Roman" w:eastAsia="Times New Roman" w:hAnsi="Times New Roman" w:cs="Times New Roman"/>
          <w:b/>
          <w:bCs/>
          <w:sz w:val="36"/>
          <w:szCs w:val="36"/>
          <w:rtl/>
        </w:rPr>
      </w:pPr>
      <w:r w:rsidRPr="00237839">
        <w:rPr>
          <w:rFonts w:ascii="Times New Roman" w:eastAsia="Times New Roman" w:hAnsi="Times New Roman" w:cs="Times New Roman" w:hint="cs"/>
          <w:b/>
          <w:bCs/>
          <w:sz w:val="36"/>
          <w:szCs w:val="36"/>
          <w:rtl/>
        </w:rPr>
        <w:t>مصادر البيانات</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توجد بيانات درجة الوميض في كثير من مجموعات بيانات الخواص الفيزيائية وكذلك في </w:t>
      </w:r>
      <w:hyperlink r:id="rId34" w:tooltip="بطاقات بيانات سلامة المواد (الصفحة غير موجودة)" w:history="1">
        <w:r w:rsidRPr="00237839">
          <w:rPr>
            <w:rFonts w:ascii="Times New Roman" w:eastAsia="Times New Roman" w:hAnsi="Times New Roman" w:cs="Times New Roman" w:hint="cs"/>
            <w:color w:val="BA0000"/>
            <w:u w:val="single"/>
            <w:rtl/>
          </w:rPr>
          <w:t>بطاقات بيانات سلامة المواد</w:t>
        </w:r>
      </w:hyperlink>
      <w:r w:rsidRPr="00237839">
        <w:rPr>
          <w:rFonts w:ascii="Times New Roman" w:eastAsia="Times New Roman" w:hAnsi="Times New Roman" w:cs="Times New Roman" w:hint="cs"/>
          <w:rtl/>
        </w:rPr>
        <w:t xml:space="preserve"> (</w:t>
      </w:r>
      <w:hyperlink r:id="rId35" w:tooltip="بطاقات بيانات سلامة المواد (الصفحة غير موجودة)" w:history="1">
        <w:r w:rsidRPr="00237839">
          <w:rPr>
            <w:rFonts w:ascii="Times New Roman" w:eastAsia="Times New Roman" w:hAnsi="Times New Roman" w:cs="Times New Roman" w:hint="cs"/>
            <w:color w:val="BA0000"/>
            <w:u w:val="single"/>
          </w:rPr>
          <w:t>MSDS</w:t>
        </w:r>
      </w:hyperlink>
      <w:r w:rsidRPr="00237839">
        <w:rPr>
          <w:rFonts w:ascii="Times New Roman" w:eastAsia="Times New Roman" w:hAnsi="Times New Roman" w:cs="Times New Roman" w:hint="cs"/>
          <w:rtl/>
        </w:rPr>
        <w:t>) ولكن ليس كل مصادر البيانات على قدم المساواة، وفائدة البيانات تعتمد على الطريقة المستخدمة في تحديد البيانات (على وجه التحديد طريقة الكأس المفتوحة أو المغلقة).</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اثنان من الأكثر مجموعات البيانات موثوقية:</w:t>
      </w:r>
    </w:p>
    <w:p w:rsidR="00237839" w:rsidRPr="00237839" w:rsidRDefault="00237839" w:rsidP="00237839">
      <w:pPr>
        <w:numPr>
          <w:ilvl w:val="0"/>
          <w:numId w:val="2"/>
        </w:numPr>
        <w:spacing w:before="100" w:beforeAutospacing="1" w:after="100" w:afterAutospacing="1" w:line="240" w:lineRule="auto"/>
        <w:rPr>
          <w:rFonts w:ascii="Times New Roman" w:eastAsia="Times New Roman" w:hAnsi="Times New Roman" w:cs="Times New Roman"/>
          <w:rtl/>
        </w:rPr>
      </w:pPr>
      <w:proofErr w:type="spellStart"/>
      <w:r w:rsidRPr="00237839">
        <w:rPr>
          <w:rFonts w:ascii="Times New Roman" w:eastAsia="Times New Roman" w:hAnsi="Times New Roman" w:cs="Times New Roman" w:hint="cs"/>
        </w:rPr>
        <w:t>Sicherheitstechnische</w:t>
      </w:r>
      <w:proofErr w:type="spellEnd"/>
      <w:r w:rsidRPr="00237839">
        <w:rPr>
          <w:rFonts w:ascii="Times New Roman" w:eastAsia="Times New Roman" w:hAnsi="Times New Roman" w:cs="Times New Roman" w:hint="cs"/>
        </w:rPr>
        <w:t xml:space="preserve"> </w:t>
      </w:r>
      <w:proofErr w:type="spellStart"/>
      <w:r w:rsidRPr="00237839">
        <w:rPr>
          <w:rFonts w:ascii="Times New Roman" w:eastAsia="Times New Roman" w:hAnsi="Times New Roman" w:cs="Times New Roman" w:hint="cs"/>
        </w:rPr>
        <w:t>Kenngrößen</w:t>
      </w:r>
      <w:proofErr w:type="spellEnd"/>
      <w:r w:rsidRPr="00237839">
        <w:rPr>
          <w:rFonts w:ascii="Times New Roman" w:eastAsia="Times New Roman" w:hAnsi="Times New Roman" w:cs="Times New Roman" w:hint="cs"/>
        </w:rPr>
        <w:t xml:space="preserve">. Band 1: </w:t>
      </w:r>
      <w:proofErr w:type="spellStart"/>
      <w:r w:rsidRPr="00237839">
        <w:rPr>
          <w:rFonts w:ascii="Times New Roman" w:eastAsia="Times New Roman" w:hAnsi="Times New Roman" w:cs="Times New Roman" w:hint="cs"/>
        </w:rPr>
        <w:t>Brennbare</w:t>
      </w:r>
      <w:proofErr w:type="spellEnd"/>
      <w:r w:rsidRPr="00237839">
        <w:rPr>
          <w:rFonts w:ascii="Times New Roman" w:eastAsia="Times New Roman" w:hAnsi="Times New Roman" w:cs="Times New Roman" w:hint="cs"/>
        </w:rPr>
        <w:t xml:space="preserve"> </w:t>
      </w:r>
      <w:proofErr w:type="spellStart"/>
      <w:r w:rsidRPr="00237839">
        <w:rPr>
          <w:rFonts w:ascii="Times New Roman" w:eastAsia="Times New Roman" w:hAnsi="Times New Roman" w:cs="Times New Roman" w:hint="cs"/>
        </w:rPr>
        <w:t>Flüssigkeiten</w:t>
      </w:r>
      <w:proofErr w:type="spellEnd"/>
      <w:r w:rsidRPr="00237839">
        <w:rPr>
          <w:rFonts w:ascii="Times New Roman" w:eastAsia="Times New Roman" w:hAnsi="Times New Roman" w:cs="Times New Roman" w:hint="cs"/>
        </w:rPr>
        <w:t xml:space="preserve"> und </w:t>
      </w:r>
      <w:proofErr w:type="spellStart"/>
      <w:r w:rsidRPr="00237839">
        <w:rPr>
          <w:rFonts w:ascii="Times New Roman" w:eastAsia="Times New Roman" w:hAnsi="Times New Roman" w:cs="Times New Roman" w:hint="cs"/>
        </w:rPr>
        <w:t>Gase</w:t>
      </w:r>
      <w:proofErr w:type="spellEnd"/>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 xml:space="preserve">Elisabeth </w:t>
      </w:r>
      <w:proofErr w:type="spellStart"/>
      <w:r w:rsidRPr="00237839">
        <w:rPr>
          <w:rFonts w:ascii="Times New Roman" w:eastAsia="Times New Roman" w:hAnsi="Times New Roman" w:cs="Times New Roman" w:hint="cs"/>
        </w:rPr>
        <w:t>Brandes</w:t>
      </w:r>
      <w:proofErr w:type="spellEnd"/>
      <w:r w:rsidRPr="00237839">
        <w:rPr>
          <w:rFonts w:ascii="Times New Roman" w:eastAsia="Times New Roman" w:hAnsi="Times New Roman" w:cs="Times New Roman" w:hint="cs"/>
        </w:rPr>
        <w:t xml:space="preserve"> and Wolfgang </w:t>
      </w:r>
      <w:proofErr w:type="spellStart"/>
      <w:r w:rsidRPr="00237839">
        <w:rPr>
          <w:rFonts w:ascii="Times New Roman" w:eastAsia="Times New Roman" w:hAnsi="Times New Roman" w:cs="Times New Roman" w:hint="cs"/>
        </w:rPr>
        <w:t>Möller</w:t>
      </w:r>
      <w:proofErr w:type="spellEnd"/>
      <w:r w:rsidRPr="00237839">
        <w:rPr>
          <w:rFonts w:ascii="Times New Roman" w:eastAsia="Times New Roman" w:hAnsi="Times New Roman" w:cs="Times New Roman" w:hint="cs"/>
        </w:rPr>
        <w:t xml:space="preserve">, </w:t>
      </w:r>
      <w:proofErr w:type="spellStart"/>
      <w:r w:rsidRPr="00237839">
        <w:rPr>
          <w:rFonts w:ascii="Times New Roman" w:eastAsia="Times New Roman" w:hAnsi="Times New Roman" w:cs="Times New Roman" w:hint="cs"/>
        </w:rPr>
        <w:t>Wirtschaftsverlag</w:t>
      </w:r>
      <w:proofErr w:type="spellEnd"/>
      <w:r w:rsidRPr="00237839">
        <w:rPr>
          <w:rFonts w:ascii="Times New Roman" w:eastAsia="Times New Roman" w:hAnsi="Times New Roman" w:cs="Times New Roman" w:hint="cs"/>
        </w:rPr>
        <w:t xml:space="preserve"> NW (2003</w:t>
      </w:r>
      <w:r w:rsidRPr="00237839">
        <w:rPr>
          <w:rFonts w:ascii="Times New Roman" w:eastAsia="Times New Roman" w:hAnsi="Times New Roman" w:cs="Times New Roman" w:hint="cs"/>
          <w:rtl/>
        </w:rPr>
        <w:t xml:space="preserve">), </w:t>
      </w:r>
      <w:hyperlink r:id="rId36" w:history="1">
        <w:r w:rsidRPr="00237839">
          <w:rPr>
            <w:rFonts w:ascii="Times New Roman" w:eastAsia="Times New Roman" w:hAnsi="Times New Roman" w:cs="Times New Roman" w:hint="cs"/>
            <w:color w:val="0000FF"/>
            <w:u w:val="single"/>
          </w:rPr>
          <w:t>ISBN</w:t>
        </w:r>
        <w:r w:rsidRPr="00237839">
          <w:rPr>
            <w:rFonts w:ascii="Times New Roman" w:eastAsia="Times New Roman" w:hAnsi="Times New Roman" w:cs="Times New Roman" w:hint="cs"/>
            <w:color w:val="0000FF"/>
            <w:u w:val="single"/>
            <w:rtl/>
          </w:rPr>
          <w:t xml:space="preserve"> 3-89701-745-8</w:t>
        </w:r>
      </w:hyperlink>
    </w:p>
    <w:p w:rsidR="00237839" w:rsidRPr="00237839" w:rsidRDefault="00237839" w:rsidP="00237839">
      <w:pPr>
        <w:numPr>
          <w:ilvl w:val="0"/>
          <w:numId w:val="2"/>
        </w:num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Pr>
        <w:lastRenderedPageBreak/>
        <w:t>NFPA 325, Fire Hazard Properties of Flammable Liquids, Gases and volatile</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solids, 1994; contained within NFPA Guide to Hazardous Materials (13th Ed</w:t>
      </w:r>
      <w:r w:rsidRPr="00237839">
        <w:rPr>
          <w:rFonts w:ascii="Times New Roman" w:eastAsia="Times New Roman" w:hAnsi="Times New Roman" w:cs="Times New Roman" w:hint="cs"/>
          <w:rtl/>
        </w:rPr>
        <w:t xml:space="preserve">), </w:t>
      </w:r>
      <w:hyperlink r:id="rId37" w:history="1">
        <w:r w:rsidRPr="00237839">
          <w:rPr>
            <w:rFonts w:ascii="Times New Roman" w:eastAsia="Times New Roman" w:hAnsi="Times New Roman" w:cs="Times New Roman" w:hint="cs"/>
            <w:color w:val="0000FF"/>
            <w:u w:val="single"/>
          </w:rPr>
          <w:t>ISBN</w:t>
        </w:r>
        <w:r w:rsidRPr="00237839">
          <w:rPr>
            <w:rFonts w:ascii="Times New Roman" w:eastAsia="Times New Roman" w:hAnsi="Times New Roman" w:cs="Times New Roman" w:hint="cs"/>
            <w:color w:val="0000FF"/>
            <w:u w:val="single"/>
            <w:rtl/>
          </w:rPr>
          <w:t xml:space="preserve"> 0-87765-473-5</w:t>
        </w:r>
      </w:hyperlink>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 xml:space="preserve">مجموعة أخرى مفيدة من البيانات ويمكن أن تراها على موقع </w:t>
      </w:r>
      <w:r w:rsidRPr="00237839">
        <w:rPr>
          <w:rFonts w:ascii="Times New Roman" w:eastAsia="Times New Roman" w:hAnsi="Times New Roman" w:cs="Times New Roman" w:hint="cs"/>
        </w:rPr>
        <w:t>CONCAWE</w:t>
      </w:r>
      <w:r w:rsidRPr="00237839">
        <w:rPr>
          <w:rFonts w:ascii="Times New Roman" w:eastAsia="Times New Roman" w:hAnsi="Times New Roman" w:cs="Times New Roman" w:hint="cs"/>
          <w:rtl/>
        </w:rPr>
        <w:t xml:space="preserve"> في ملفات المنتجات (</w:t>
      </w:r>
      <w:hyperlink r:id="rId38" w:history="1">
        <w:r w:rsidRPr="00237839">
          <w:rPr>
            <w:rFonts w:ascii="Times New Roman" w:eastAsia="Times New Roman" w:hAnsi="Times New Roman" w:cs="Times New Roman" w:hint="cs"/>
            <w:color w:val="0000FF"/>
            <w:u w:val="single"/>
          </w:rPr>
          <w:t>http://www.concawe.be</w:t>
        </w:r>
      </w:hyperlink>
      <w:r w:rsidRPr="00237839">
        <w:rPr>
          <w:rFonts w:ascii="Times New Roman" w:eastAsia="Times New Roman" w:hAnsi="Times New Roman" w:cs="Times New Roman" w:hint="cs"/>
          <w:rtl/>
        </w:rPr>
        <w:t>)</w:t>
      </w:r>
    </w:p>
    <w:p w:rsidR="00237839" w:rsidRPr="00237839" w:rsidRDefault="00237839" w:rsidP="00237839">
      <w:p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tl/>
        </w:rPr>
        <w:t>بيانات تقدير نقطة الوميض:</w:t>
      </w:r>
    </w:p>
    <w:p w:rsidR="00237839" w:rsidRPr="00237839" w:rsidRDefault="00237839" w:rsidP="00237839">
      <w:pPr>
        <w:numPr>
          <w:ilvl w:val="0"/>
          <w:numId w:val="3"/>
        </w:num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Pr>
        <w:t xml:space="preserve">L. </w:t>
      </w:r>
      <w:proofErr w:type="spellStart"/>
      <w:r w:rsidRPr="00237839">
        <w:rPr>
          <w:rFonts w:ascii="Times New Roman" w:eastAsia="Times New Roman" w:hAnsi="Times New Roman" w:cs="Times New Roman" w:hint="cs"/>
        </w:rPr>
        <w:t>Catoire</w:t>
      </w:r>
      <w:proofErr w:type="spellEnd"/>
      <w:r w:rsidRPr="00237839">
        <w:rPr>
          <w:rFonts w:ascii="Times New Roman" w:eastAsia="Times New Roman" w:hAnsi="Times New Roman" w:cs="Times New Roman" w:hint="cs"/>
        </w:rPr>
        <w:t xml:space="preserve"> et al., Journal of Physical and Chemical Reference Data, Vol. 33</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N°4, pp. 1083–1111 (2004</w:t>
      </w:r>
      <w:r w:rsidRPr="00237839">
        <w:rPr>
          <w:rFonts w:ascii="Times New Roman" w:eastAsia="Times New Roman" w:hAnsi="Times New Roman" w:cs="Times New Roman" w:hint="cs"/>
          <w:rtl/>
        </w:rPr>
        <w:t>)</w:t>
      </w:r>
    </w:p>
    <w:p w:rsidR="00237839" w:rsidRPr="00237839" w:rsidRDefault="00237839" w:rsidP="00237839">
      <w:pPr>
        <w:numPr>
          <w:ilvl w:val="0"/>
          <w:numId w:val="3"/>
        </w:numPr>
        <w:spacing w:before="100" w:beforeAutospacing="1" w:after="100" w:afterAutospacing="1" w:line="240" w:lineRule="auto"/>
        <w:rPr>
          <w:rFonts w:ascii="Times New Roman" w:eastAsia="Times New Roman" w:hAnsi="Times New Roman" w:cs="Times New Roman"/>
          <w:rtl/>
        </w:rPr>
      </w:pPr>
      <w:r w:rsidRPr="00237839">
        <w:rPr>
          <w:rFonts w:ascii="Times New Roman" w:eastAsia="Times New Roman" w:hAnsi="Times New Roman" w:cs="Times New Roman" w:hint="cs"/>
        </w:rPr>
        <w:t xml:space="preserve">L. </w:t>
      </w:r>
      <w:proofErr w:type="spellStart"/>
      <w:r w:rsidRPr="00237839">
        <w:rPr>
          <w:rFonts w:ascii="Times New Roman" w:eastAsia="Times New Roman" w:hAnsi="Times New Roman" w:cs="Times New Roman" w:hint="cs"/>
        </w:rPr>
        <w:t>Catoire</w:t>
      </w:r>
      <w:proofErr w:type="spellEnd"/>
      <w:r w:rsidRPr="00237839">
        <w:rPr>
          <w:rFonts w:ascii="Times New Roman" w:eastAsia="Times New Roman" w:hAnsi="Times New Roman" w:cs="Times New Roman" w:hint="cs"/>
        </w:rPr>
        <w:t xml:space="preserve"> et al., Journal of Physical and Chemical Reference Data, Vol. 35</w:t>
      </w:r>
      <w:r w:rsidRPr="00237839">
        <w:rPr>
          <w:rFonts w:ascii="Times New Roman" w:eastAsia="Times New Roman" w:hAnsi="Times New Roman" w:cs="Times New Roman" w:hint="cs"/>
          <w:rtl/>
        </w:rPr>
        <w:t xml:space="preserve">, </w:t>
      </w:r>
      <w:r w:rsidRPr="00237839">
        <w:rPr>
          <w:rFonts w:ascii="Times New Roman" w:eastAsia="Times New Roman" w:hAnsi="Times New Roman" w:cs="Times New Roman" w:hint="cs"/>
        </w:rPr>
        <w:t>N°1, pp. 9–14 (2006</w:t>
      </w:r>
      <w:r w:rsidRPr="00237839">
        <w:rPr>
          <w:rFonts w:ascii="Times New Roman" w:eastAsia="Times New Roman" w:hAnsi="Times New Roman" w:cs="Times New Roman" w:hint="cs"/>
          <w:rtl/>
        </w:rPr>
        <w:t>)</w:t>
      </w:r>
    </w:p>
    <w:p w:rsidR="00BF66BD" w:rsidRDefault="00BF66BD"/>
    <w:sectPr w:rsidR="00BF66BD" w:rsidSect="003729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95F"/>
    <w:multiLevelType w:val="multilevel"/>
    <w:tmpl w:val="359C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B1068"/>
    <w:multiLevelType w:val="multilevel"/>
    <w:tmpl w:val="273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60868"/>
    <w:multiLevelType w:val="multilevel"/>
    <w:tmpl w:val="5D66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39"/>
    <w:rsid w:val="001C3E4F"/>
    <w:rsid w:val="00237839"/>
    <w:rsid w:val="00372958"/>
    <w:rsid w:val="007F7DB9"/>
    <w:rsid w:val="00BF6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378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378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3783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37839"/>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237839"/>
    <w:rPr>
      <w:color w:val="0000FF"/>
      <w:u w:val="single"/>
    </w:rPr>
  </w:style>
  <w:style w:type="paragraph" w:styleId="a3">
    <w:name w:val="Normal (Web)"/>
    <w:basedOn w:val="a"/>
    <w:uiPriority w:val="99"/>
    <w:semiHidden/>
    <w:unhideWhenUsed/>
    <w:rsid w:val="002378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a0"/>
    <w:rsid w:val="00237839"/>
  </w:style>
  <w:style w:type="character" w:customStyle="1" w:styleId="toctoggle">
    <w:name w:val="toctoggle"/>
    <w:basedOn w:val="a0"/>
    <w:rsid w:val="00237839"/>
  </w:style>
  <w:style w:type="character" w:customStyle="1" w:styleId="tocnumber">
    <w:name w:val="tocnumber"/>
    <w:basedOn w:val="a0"/>
    <w:rsid w:val="00237839"/>
  </w:style>
  <w:style w:type="character" w:customStyle="1" w:styleId="toctext">
    <w:name w:val="toctext"/>
    <w:basedOn w:val="a0"/>
    <w:rsid w:val="00237839"/>
  </w:style>
  <w:style w:type="character" w:customStyle="1" w:styleId="editsection">
    <w:name w:val="editsection"/>
    <w:basedOn w:val="a0"/>
    <w:rsid w:val="00237839"/>
  </w:style>
  <w:style w:type="character" w:customStyle="1" w:styleId="mw-headline">
    <w:name w:val="mw-headline"/>
    <w:basedOn w:val="a0"/>
    <w:rsid w:val="00237839"/>
  </w:style>
  <w:style w:type="paragraph" w:styleId="a4">
    <w:name w:val="Balloon Text"/>
    <w:basedOn w:val="a"/>
    <w:link w:val="Char"/>
    <w:uiPriority w:val="99"/>
    <w:semiHidden/>
    <w:unhideWhenUsed/>
    <w:rsid w:val="002378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7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3783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2378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3783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237839"/>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237839"/>
    <w:rPr>
      <w:color w:val="0000FF"/>
      <w:u w:val="single"/>
    </w:rPr>
  </w:style>
  <w:style w:type="paragraph" w:styleId="a3">
    <w:name w:val="Normal (Web)"/>
    <w:basedOn w:val="a"/>
    <w:uiPriority w:val="99"/>
    <w:semiHidden/>
    <w:unhideWhenUsed/>
    <w:rsid w:val="002378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a0"/>
    <w:rsid w:val="00237839"/>
  </w:style>
  <w:style w:type="character" w:customStyle="1" w:styleId="toctoggle">
    <w:name w:val="toctoggle"/>
    <w:basedOn w:val="a0"/>
    <w:rsid w:val="00237839"/>
  </w:style>
  <w:style w:type="character" w:customStyle="1" w:styleId="tocnumber">
    <w:name w:val="tocnumber"/>
    <w:basedOn w:val="a0"/>
    <w:rsid w:val="00237839"/>
  </w:style>
  <w:style w:type="character" w:customStyle="1" w:styleId="toctext">
    <w:name w:val="toctext"/>
    <w:basedOn w:val="a0"/>
    <w:rsid w:val="00237839"/>
  </w:style>
  <w:style w:type="character" w:customStyle="1" w:styleId="editsection">
    <w:name w:val="editsection"/>
    <w:basedOn w:val="a0"/>
    <w:rsid w:val="00237839"/>
  </w:style>
  <w:style w:type="character" w:customStyle="1" w:styleId="mw-headline">
    <w:name w:val="mw-headline"/>
    <w:basedOn w:val="a0"/>
    <w:rsid w:val="00237839"/>
  </w:style>
  <w:style w:type="paragraph" w:styleId="a4">
    <w:name w:val="Balloon Text"/>
    <w:basedOn w:val="a"/>
    <w:link w:val="Char"/>
    <w:uiPriority w:val="99"/>
    <w:semiHidden/>
    <w:unhideWhenUsed/>
    <w:rsid w:val="002378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3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017">
      <w:bodyDiv w:val="1"/>
      <w:marLeft w:val="0"/>
      <w:marRight w:val="0"/>
      <w:marTop w:val="0"/>
      <w:marBottom w:val="0"/>
      <w:divBdr>
        <w:top w:val="none" w:sz="0" w:space="0" w:color="auto"/>
        <w:left w:val="none" w:sz="0" w:space="0" w:color="auto"/>
        <w:bottom w:val="none" w:sz="0" w:space="0" w:color="auto"/>
        <w:right w:val="none" w:sz="0" w:space="0" w:color="auto"/>
      </w:divBdr>
      <w:divsChild>
        <w:div w:id="1500391640">
          <w:marLeft w:val="0"/>
          <w:marRight w:val="0"/>
          <w:marTop w:val="0"/>
          <w:marBottom w:val="0"/>
          <w:divBdr>
            <w:top w:val="none" w:sz="0" w:space="0" w:color="auto"/>
            <w:left w:val="none" w:sz="0" w:space="0" w:color="auto"/>
            <w:bottom w:val="none" w:sz="0" w:space="0" w:color="auto"/>
            <w:right w:val="none" w:sz="0" w:space="0" w:color="auto"/>
          </w:divBdr>
          <w:divsChild>
            <w:div w:id="391075461">
              <w:marLeft w:val="0"/>
              <w:marRight w:val="0"/>
              <w:marTop w:val="0"/>
              <w:marBottom w:val="0"/>
              <w:divBdr>
                <w:top w:val="none" w:sz="0" w:space="0" w:color="auto"/>
                <w:left w:val="none" w:sz="0" w:space="0" w:color="auto"/>
                <w:bottom w:val="none" w:sz="0" w:space="0" w:color="auto"/>
                <w:right w:val="none" w:sz="0" w:space="0" w:color="auto"/>
              </w:divBdr>
              <w:divsChild>
                <w:div w:id="1216887516">
                  <w:marLeft w:val="0"/>
                  <w:marRight w:val="0"/>
                  <w:marTop w:val="0"/>
                  <w:marBottom w:val="0"/>
                  <w:divBdr>
                    <w:top w:val="none" w:sz="0" w:space="0" w:color="auto"/>
                    <w:left w:val="none" w:sz="0" w:space="0" w:color="auto"/>
                    <w:bottom w:val="none" w:sz="0" w:space="0" w:color="auto"/>
                    <w:right w:val="none" w:sz="0" w:space="0" w:color="auto"/>
                  </w:divBdr>
                </w:div>
                <w:div w:id="1409881017">
                  <w:marLeft w:val="0"/>
                  <w:marRight w:val="0"/>
                  <w:marTop w:val="0"/>
                  <w:marBottom w:val="480"/>
                  <w:divBdr>
                    <w:top w:val="none" w:sz="0" w:space="0" w:color="auto"/>
                    <w:left w:val="none" w:sz="0" w:space="0" w:color="auto"/>
                    <w:bottom w:val="none" w:sz="0" w:space="0" w:color="auto"/>
                    <w:right w:val="none" w:sz="0" w:space="0" w:color="auto"/>
                  </w:divBdr>
                  <w:divsChild>
                    <w:div w:id="639261714">
                      <w:marLeft w:val="240"/>
                      <w:marRight w:val="0"/>
                      <w:marTop w:val="0"/>
                      <w:marBottom w:val="0"/>
                      <w:divBdr>
                        <w:top w:val="single" w:sz="6" w:space="1" w:color="CCCCCC"/>
                        <w:left w:val="single" w:sz="6" w:space="1" w:color="CCCCCC"/>
                        <w:bottom w:val="single" w:sz="6" w:space="1" w:color="CCCCCC"/>
                        <w:right w:val="single" w:sz="6" w:space="1" w:color="CCCCCC"/>
                      </w:divBdr>
                    </w:div>
                  </w:divsChild>
                </w:div>
                <w:div w:id="763577742">
                  <w:marLeft w:val="0"/>
                  <w:marRight w:val="0"/>
                  <w:marTop w:val="0"/>
                  <w:marBottom w:val="0"/>
                  <w:divBdr>
                    <w:top w:val="none" w:sz="0" w:space="0" w:color="auto"/>
                    <w:left w:val="none" w:sz="0" w:space="0" w:color="auto"/>
                    <w:bottom w:val="none" w:sz="0" w:space="0" w:color="auto"/>
                    <w:right w:val="none" w:sz="0" w:space="0" w:color="auto"/>
                  </w:divBdr>
                </w:div>
                <w:div w:id="20910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F%D8%B1%D8%AC%D8%A9_%D8%AD%D8%B1%D8%A7%D8%B1%D8%A9" TargetMode="External"/><Relationship Id="rId13" Type="http://schemas.openxmlformats.org/officeDocument/2006/relationships/hyperlink" Target="http://ar.wikipedia.org/w/index.php?title=%D8%B7%D8%B1%D9%8A%D9%82%D8%A9_%D8%A7%D9%84%D9%83%D8%A3%D8%B3_%D8%A7%D9%84%D9%85%D9%81%D8%AA%D9%88%D8%AD%D8%A9_%D9%83%D9%84%D9%8A%D9%81%D9%84%D8%A7%D9%86%D8%AF&amp;action=edit&amp;redlink=1" TargetMode="External"/><Relationship Id="rId18" Type="http://schemas.openxmlformats.org/officeDocument/2006/relationships/hyperlink" Target="http://ar.wikipedia.org/wiki/%D8%BA%D8%A7%D8%B2%D9%88%D9%84%D9%8A%D9%86" TargetMode="External"/><Relationship Id="rId26" Type="http://schemas.openxmlformats.org/officeDocument/2006/relationships/hyperlink" Target="http://ar.wikipedia.org/wiki/%D8%AF%D8%B1%D8%AC%D8%A9_%D8%AD%D8%B1%D8%A7%D8%B1%D8%A9_%D8%A7%D9%84%D8%A7%D8%B4%D8%AA%D8%B9%D8%A7%D9%84_%D8%A7%D9%84%D8%B0%D8%A7%D8%AA%D9%8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r.wikipedia.org/w/index.php?title=%D8%B4%D8%B1%D8%A7%D8%B1%D8%A9&amp;action=edit&amp;redlink=1" TargetMode="External"/><Relationship Id="rId34" Type="http://schemas.openxmlformats.org/officeDocument/2006/relationships/hyperlink" Target="http://ar.wikipedia.org/w/index.php?title=%D8%A8%D8%B7%D8%A7%D9%82%D8%A7%D8%AA_%D8%A8%D9%8A%D8%A7%D9%86%D8%A7%D8%AA_%D8%B3%D9%84%D8%A7%D9%85%D8%A9_%D8%A7%D9%84%D9%85%D9%88%D8%A7%D8%AF&amp;action=edit&amp;redlink=1" TargetMode="External"/><Relationship Id="rId7" Type="http://schemas.openxmlformats.org/officeDocument/2006/relationships/hyperlink" Target="http://ar.wikipedia.org/wiki/%D9%84%D8%BA%D8%A9_%D8%A5%D9%86%D8%AC%D9%84%D9%8A%D8%B2%D9%8A%D8%A9" TargetMode="External"/><Relationship Id="rId12" Type="http://schemas.openxmlformats.org/officeDocument/2006/relationships/hyperlink" Target="http://ar.wikipedia.org/wiki/%D9%86%D9%82%D8%B7%D8%A9_%D8%A7%D9%84%D8%A7%D8%B4%D8%AA%D8%B9%D8%A7%D9%84" TargetMode="External"/><Relationship Id="rId17" Type="http://schemas.openxmlformats.org/officeDocument/2006/relationships/hyperlink" Target="http://ar.wikipedia.org/w/index.php?title=%D8%AD%D8%AF_%D8%A3%D8%AF%D9%86%D9%89_%D9%85%D8%B4%D8%AA%D8%B9%D9%84&amp;action=edit&amp;redlink=1" TargetMode="External"/><Relationship Id="rId25" Type="http://schemas.openxmlformats.org/officeDocument/2006/relationships/hyperlink" Target="http://ar.wikipedia.org/wiki/%D8%AF%D9%8A%D8%B2%D9%84" TargetMode="External"/><Relationship Id="rId33" Type="http://schemas.openxmlformats.org/officeDocument/2006/relationships/hyperlink" Target="http://ar.wikipedia.org/wiki/%D8%A8%D9%8A%D9%88%D8%AF%D9%8A%D8%B2%D9%84" TargetMode="External"/><Relationship Id="rId38" Type="http://schemas.openxmlformats.org/officeDocument/2006/relationships/hyperlink" Target="http://www.concawe.be" TargetMode="External"/><Relationship Id="rId2" Type="http://schemas.openxmlformats.org/officeDocument/2006/relationships/styles" Target="styles.xml"/><Relationship Id="rId16" Type="http://schemas.openxmlformats.org/officeDocument/2006/relationships/hyperlink" Target="http://ar.wikipedia.org/wiki/%D9%83%D9%84%D9%81%D9%86" TargetMode="External"/><Relationship Id="rId20" Type="http://schemas.openxmlformats.org/officeDocument/2006/relationships/hyperlink" Target="http://ar.wikipedia.org/wiki/%D9%85%D8%AD%D8%B1%D9%83" TargetMode="External"/><Relationship Id="rId29" Type="http://schemas.openxmlformats.org/officeDocument/2006/relationships/hyperlink" Target="http://ar.wikipedia.org/wiki/%D8%AF%D9%8A%D8%B2%D9%8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r.wikipedia.org/wiki/%D8%B6%D8%BA%D8%B7_%D8%A7%D9%84%D8%A8%D8%AE%D8%A7%D8%B1" TargetMode="External"/><Relationship Id="rId24" Type="http://schemas.openxmlformats.org/officeDocument/2006/relationships/hyperlink" Target="http://ar.wikipedia.org/wiki/%D8%AF%D8%B1%D8%AC%D8%A9_%D8%AD%D8%B1%D8%A7%D8%B1%D8%A9_%D8%A7%D9%84%D8%A7%D8%B4%D8%AA%D8%B9%D8%A7%D9%84_%D8%A7%D9%84%D8%B0%D8%A7%D8%AA%D9%8A" TargetMode="External"/><Relationship Id="rId32" Type="http://schemas.openxmlformats.org/officeDocument/2006/relationships/hyperlink" Target="http://ar.wikipedia.org/wiki/%D8%B2%D9%8A%D8%AA_%D9%86%D8%A8%D8%A7%D8%AA%D9%8A" TargetMode="External"/><Relationship Id="rId37" Type="http://schemas.openxmlformats.org/officeDocument/2006/relationships/hyperlink" Target="http://ar.wikipedia.org/wiki/%D8%AE%D8%A7%D8%B5:%D9%85%D8%B5%D8%A7%D8%AF%D8%B1_%D9%83%D8%AA%D8%A7%D8%A8/087765473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wikipedia.org/w/index.php?title=%D8%B7%D8%B1%D9%8A%D9%82%D8%A9_%D8%A7%D9%84%D9%83%D8%A3%D8%B3_%D8%A7%D9%84%D9%85%D8%BA%D9%84%D9%82%D8%A9_%D8%A8%D9%8A%D9%86%D8%B3%D9%83%D9%8A_%E2%80%93_%D9%85%D8%A7%D8%B1%D8%AA%D9%86%D8%B2&amp;action=edit&amp;redlink=1" TargetMode="External"/><Relationship Id="rId23" Type="http://schemas.openxmlformats.org/officeDocument/2006/relationships/hyperlink" Target="http://ar.wikipedia.org/wiki/%D8%B4%D9%85%D8%B9%D8%A9_%D8%A7%D8%AD%D8%AA%D8%B1%D8%A7%D9%82" TargetMode="External"/><Relationship Id="rId28" Type="http://schemas.openxmlformats.org/officeDocument/2006/relationships/hyperlink" Target="http://ar.wikipedia.org/wiki/%D8%A8%D9%86%D8%B2%D9%8A%D9%86_(%D9%88%D9%82%D9%88%D8%AF)" TargetMode="External"/><Relationship Id="rId36" Type="http://schemas.openxmlformats.org/officeDocument/2006/relationships/hyperlink" Target="http://ar.wikipedia.org/wiki/%D8%AE%D8%A7%D8%B5:%D9%85%D8%B5%D8%A7%D8%AF%D8%B1_%D9%83%D8%AA%D8%A7%D8%A8/3897017458" TargetMode="External"/><Relationship Id="rId10" Type="http://schemas.openxmlformats.org/officeDocument/2006/relationships/hyperlink" Target="http://ar.wikipedia.org/wiki/%D8%B6%D8%BA%D8%B7_%D8%A7%D9%84%D8%A8%D8%AE%D8%A7%D8%B1" TargetMode="External"/><Relationship Id="rId19" Type="http://schemas.openxmlformats.org/officeDocument/2006/relationships/hyperlink" Target="http://ar.wikipedia.org/wiki/%D8%A8%D9%86%D8%B2%D9%8A%D9%86" TargetMode="External"/><Relationship Id="rId31" Type="http://schemas.openxmlformats.org/officeDocument/2006/relationships/hyperlink" Target="http://ar.wikipedia.org/wiki/%D9%83%D9%8A%D8%B1%D9%88%D8%B3%D9%8A%D9%86" TargetMode="External"/><Relationship Id="rId4" Type="http://schemas.openxmlformats.org/officeDocument/2006/relationships/settings" Target="settings.xml"/><Relationship Id="rId9" Type="http://schemas.openxmlformats.org/officeDocument/2006/relationships/hyperlink" Target="http://ar.wikipedia.org/wiki/%D9%84%D8%BA%D8%A9_%D8%A5%D9%86%D8%AC%D9%84%D9%8A%D8%B2%D9%8A%D8%A9" TargetMode="External"/><Relationship Id="rId14" Type="http://schemas.openxmlformats.org/officeDocument/2006/relationships/hyperlink" Target="http://ar.wikipedia.org/w/index.php?title=%D8%B7%D8%B1%D9%8A%D9%82%D8%A9_%D8%A7%D9%84%D9%83%D8%A3%D8%B3_%D8%A7%D9%84%D9%85%D9%81%D8%AA%D9%88%D8%AD%D8%A9_%D8%A8%D9%8A%D9%86%D8%B3%D9%83%D9%8A_-_%D9%85%D8%A7%D8%B1%D8%AA%D9%86%D8%B2&amp;action=edit&amp;redlink=1" TargetMode="External"/><Relationship Id="rId22" Type="http://schemas.openxmlformats.org/officeDocument/2006/relationships/hyperlink" Target="http://ar.wikipedia.org/w/index.php?title=%D8%AD%D8%AF_%D8%A3%D8%AF%D9%86%D9%89_%D9%85%D8%B4%D8%AA%D8%B9%D9%84&amp;action=edit&amp;redlink=1" TargetMode="External"/><Relationship Id="rId27" Type="http://schemas.openxmlformats.org/officeDocument/2006/relationships/hyperlink" Target="http://ar.wikipedia.org/wiki/%D8%A5%D9%8A%D8%AB%D8%A7%D9%86%D9%88%D9%84" TargetMode="External"/><Relationship Id="rId30" Type="http://schemas.openxmlformats.org/officeDocument/2006/relationships/hyperlink" Target="http://ar.wikipedia.org/w/index.php?title=%D9%88%D9%82%D9%88%D8%AF_%D8%A7%D9%84%D9%86%D9%81%D8%A7%D8%AB%D8%A7%D8%AA&amp;action=edit&amp;redlink=1" TargetMode="External"/><Relationship Id="rId35" Type="http://schemas.openxmlformats.org/officeDocument/2006/relationships/hyperlink" Target="http://ar.wikipedia.org/w/index.php?title=%D8%A8%D8%B7%D8%A7%D9%82%D8%A7%D8%AA_%D8%A8%D9%8A%D8%A7%D9%86%D8%A7%D8%AA_%D8%B3%D9%84%D8%A7%D9%85%D8%A9_%D8%A7%D9%84%D9%85%D9%88%D8%A7%D8%AF&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7774</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Ezzat</dc:creator>
  <cp:lastModifiedBy>user</cp:lastModifiedBy>
  <cp:revision>2</cp:revision>
  <dcterms:created xsi:type="dcterms:W3CDTF">2013-07-24T13:56:00Z</dcterms:created>
  <dcterms:modified xsi:type="dcterms:W3CDTF">2013-07-24T13:56:00Z</dcterms:modified>
</cp:coreProperties>
</file>